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刘永娟</w:t>
      </w:r>
      <w:r>
        <w:rPr>
          <w:rFonts w:hint="eastAsia"/>
          <w:sz w:val="15"/>
          <w:szCs w:val="15"/>
          <w:highlight w:val="none"/>
        </w:rPr>
        <w:t>，</w:t>
      </w:r>
      <w:r>
        <w:rPr>
          <w:rFonts w:hint="eastAsia"/>
          <w:sz w:val="15"/>
          <w:szCs w:val="15"/>
          <w:highlight w:val="none"/>
          <w:lang w:val="en-US" w:eastAsia="zh-CN"/>
        </w:rPr>
        <w:t>132302197901075029</w:t>
      </w:r>
      <w:r>
        <w:rPr>
          <w:rFonts w:hint="eastAsia"/>
          <w:sz w:val="15"/>
          <w:szCs w:val="15"/>
        </w:rPr>
        <w:t xml:space="preserve">  </w:t>
      </w:r>
      <w:r>
        <w:rPr>
          <w:rFonts w:hint="eastAsia"/>
          <w:sz w:val="15"/>
          <w:szCs w:val="15"/>
          <w:lang w:val="en-US" w:eastAsia="zh-CN"/>
        </w:rPr>
        <w:t>冀A80516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