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张永立</w:t>
      </w:r>
      <w:r>
        <w:rPr>
          <w:rFonts w:hint="eastAsia"/>
          <w:sz w:val="15"/>
          <w:szCs w:val="15"/>
          <w:highlight w:val="none"/>
        </w:rPr>
        <w:t>，</w:t>
      </w:r>
      <w:r>
        <w:rPr>
          <w:rFonts w:hint="eastAsia"/>
          <w:sz w:val="15"/>
          <w:szCs w:val="15"/>
          <w:highlight w:val="none"/>
          <w:lang w:val="en-US" w:eastAsia="zh-CN"/>
        </w:rPr>
        <w:t>132302197803295212</w:t>
      </w:r>
      <w:r>
        <w:rPr>
          <w:rFonts w:hint="eastAsia"/>
          <w:sz w:val="15"/>
          <w:szCs w:val="15"/>
        </w:rPr>
        <w:t xml:space="preserve">  </w:t>
      </w:r>
      <w:r>
        <w:rPr>
          <w:rFonts w:hint="eastAsia"/>
          <w:sz w:val="15"/>
          <w:szCs w:val="15"/>
          <w:lang w:val="en-US" w:eastAsia="zh-CN"/>
        </w:rPr>
        <w:t>冀A1283Z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