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董均平</w:t>
      </w:r>
      <w:r>
        <w:rPr>
          <w:rFonts w:hint="eastAsia"/>
          <w:sz w:val="15"/>
          <w:szCs w:val="15"/>
          <w:highlight w:val="none"/>
        </w:rPr>
        <w:t>，</w:t>
      </w:r>
      <w:r>
        <w:rPr>
          <w:rFonts w:hint="eastAsia"/>
          <w:sz w:val="15"/>
          <w:szCs w:val="15"/>
          <w:highlight w:val="none"/>
          <w:lang w:val="en-US" w:eastAsia="zh-CN"/>
        </w:rPr>
        <w:t>132302197507133630</w:t>
      </w:r>
      <w:r>
        <w:rPr>
          <w:rFonts w:hint="eastAsia"/>
          <w:sz w:val="15"/>
          <w:szCs w:val="15"/>
        </w:rPr>
        <w:t xml:space="preserve">  </w:t>
      </w:r>
      <w:r>
        <w:rPr>
          <w:rFonts w:hint="eastAsia"/>
          <w:sz w:val="15"/>
          <w:szCs w:val="15"/>
          <w:lang w:val="en-US" w:eastAsia="zh-CN"/>
        </w:rPr>
        <w:t>冀A3T682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