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郭清华</w:t>
      </w:r>
      <w:r>
        <w:rPr>
          <w:rFonts w:hint="eastAsia"/>
          <w:sz w:val="15"/>
          <w:szCs w:val="15"/>
          <w:highlight w:val="none"/>
        </w:rPr>
        <w:t>，</w:t>
      </w:r>
      <w:r>
        <w:rPr>
          <w:rFonts w:hint="eastAsia"/>
          <w:sz w:val="15"/>
          <w:szCs w:val="15"/>
          <w:highlight w:val="none"/>
          <w:lang w:val="en-US" w:eastAsia="zh-CN"/>
        </w:rPr>
        <w:t>132302197110204496</w:t>
      </w:r>
      <w:r>
        <w:rPr>
          <w:rFonts w:hint="eastAsia"/>
          <w:sz w:val="15"/>
          <w:szCs w:val="15"/>
        </w:rPr>
        <w:t xml:space="preserve">  </w:t>
      </w:r>
      <w:r>
        <w:rPr>
          <w:rFonts w:hint="eastAsia"/>
          <w:sz w:val="15"/>
          <w:szCs w:val="15"/>
          <w:lang w:val="en-US" w:eastAsia="zh-CN"/>
        </w:rPr>
        <w:t>冀A631D9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