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崔建峰</w:t>
      </w:r>
      <w:r>
        <w:rPr>
          <w:rFonts w:hint="eastAsia"/>
          <w:sz w:val="15"/>
          <w:szCs w:val="15"/>
          <w:highlight w:val="none"/>
        </w:rPr>
        <w:t>，</w:t>
      </w:r>
      <w:r>
        <w:rPr>
          <w:rFonts w:hint="eastAsia"/>
          <w:sz w:val="15"/>
          <w:szCs w:val="15"/>
          <w:highlight w:val="none"/>
          <w:lang w:val="en-US" w:eastAsia="zh-CN"/>
        </w:rPr>
        <w:t>132302197010174410</w:t>
      </w:r>
      <w:r>
        <w:rPr>
          <w:rFonts w:hint="eastAsia"/>
          <w:sz w:val="15"/>
          <w:szCs w:val="15"/>
        </w:rPr>
        <w:t xml:space="preserve">  </w:t>
      </w:r>
      <w:r>
        <w:rPr>
          <w:rFonts w:hint="eastAsia"/>
          <w:sz w:val="15"/>
          <w:szCs w:val="15"/>
          <w:lang w:val="en-US" w:eastAsia="zh-CN"/>
        </w:rPr>
        <w:t>冀A7708U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