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庞天帅</w:t>
      </w:r>
      <w:r>
        <w:rPr>
          <w:rFonts w:hint="eastAsia"/>
          <w:sz w:val="15"/>
          <w:szCs w:val="15"/>
          <w:highlight w:val="none"/>
        </w:rPr>
        <w:t>，</w:t>
      </w:r>
      <w:r>
        <w:rPr>
          <w:rFonts w:hint="eastAsia"/>
          <w:sz w:val="15"/>
          <w:szCs w:val="15"/>
          <w:highlight w:val="none"/>
          <w:lang w:val="en-US" w:eastAsia="zh-CN"/>
        </w:rPr>
        <w:t>132130197502014717</w:t>
      </w:r>
      <w:r>
        <w:rPr>
          <w:rFonts w:hint="eastAsia"/>
          <w:sz w:val="15"/>
          <w:szCs w:val="15"/>
        </w:rPr>
        <w:t xml:space="preserve">  </w:t>
      </w:r>
      <w:r>
        <w:rPr>
          <w:rFonts w:hint="eastAsia"/>
          <w:sz w:val="15"/>
          <w:szCs w:val="15"/>
          <w:lang w:val="en-US" w:eastAsia="zh-CN"/>
        </w:rPr>
        <w:t>冀D11114D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