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吴振法</w:t>
      </w:r>
      <w:r>
        <w:rPr>
          <w:rFonts w:hint="eastAsia"/>
          <w:sz w:val="15"/>
          <w:szCs w:val="15"/>
          <w:highlight w:val="none"/>
        </w:rPr>
        <w:t>，</w:t>
      </w:r>
      <w:r>
        <w:rPr>
          <w:rFonts w:hint="eastAsia"/>
          <w:sz w:val="15"/>
          <w:szCs w:val="15"/>
          <w:highlight w:val="none"/>
          <w:lang w:val="en-US" w:eastAsia="zh-CN"/>
        </w:rPr>
        <w:t>132121197603212417</w:t>
      </w:r>
      <w:r>
        <w:rPr>
          <w:rFonts w:hint="eastAsia"/>
          <w:sz w:val="15"/>
          <w:szCs w:val="15"/>
        </w:rPr>
        <w:t xml:space="preserve">  </w:t>
      </w:r>
      <w:r>
        <w:rPr>
          <w:rFonts w:hint="eastAsia"/>
          <w:sz w:val="15"/>
          <w:szCs w:val="15"/>
          <w:lang w:val="en-US" w:eastAsia="zh-CN"/>
        </w:rPr>
        <w:t>沪A75335D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