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韩二兵</w:t>
      </w:r>
      <w:r>
        <w:rPr>
          <w:rFonts w:hint="eastAsia"/>
          <w:sz w:val="15"/>
          <w:szCs w:val="15"/>
          <w:highlight w:val="none"/>
        </w:rPr>
        <w:t>，</w:t>
      </w:r>
      <w:r>
        <w:rPr>
          <w:rFonts w:hint="eastAsia"/>
          <w:sz w:val="15"/>
          <w:szCs w:val="15"/>
          <w:highlight w:val="none"/>
          <w:lang w:val="en-US" w:eastAsia="zh-CN"/>
        </w:rPr>
        <w:t>131182198507132018</w:t>
      </w:r>
      <w:r>
        <w:rPr>
          <w:rFonts w:hint="eastAsia"/>
          <w:sz w:val="15"/>
          <w:szCs w:val="15"/>
        </w:rPr>
        <w:t xml:space="preserve">  </w:t>
      </w:r>
      <w:r>
        <w:rPr>
          <w:rFonts w:hint="eastAsia"/>
          <w:sz w:val="15"/>
          <w:szCs w:val="15"/>
          <w:lang w:val="en-US" w:eastAsia="zh-CN"/>
        </w:rPr>
        <w:t>冀TJ0298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