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安彦奇</w:t>
      </w:r>
      <w:r>
        <w:rPr>
          <w:rFonts w:hint="eastAsia"/>
          <w:sz w:val="15"/>
          <w:szCs w:val="15"/>
          <w:highlight w:val="none"/>
        </w:rPr>
        <w:t>，</w:t>
      </w:r>
      <w:r>
        <w:rPr>
          <w:rFonts w:hint="eastAsia"/>
          <w:sz w:val="15"/>
          <w:szCs w:val="15"/>
          <w:highlight w:val="none"/>
          <w:lang w:val="en-US" w:eastAsia="zh-CN"/>
        </w:rPr>
        <w:t>131128199301063914</w:t>
      </w:r>
      <w:r>
        <w:rPr>
          <w:rFonts w:hint="eastAsia"/>
          <w:sz w:val="15"/>
          <w:szCs w:val="15"/>
        </w:rPr>
        <w:t xml:space="preserve">  </w:t>
      </w:r>
      <w:r>
        <w:rPr>
          <w:rFonts w:hint="eastAsia"/>
          <w:sz w:val="15"/>
          <w:szCs w:val="15"/>
          <w:lang w:val="en-US" w:eastAsia="zh-CN"/>
        </w:rPr>
        <w:t>冀T13376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