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李鹏鹏</w:t>
      </w:r>
      <w:r>
        <w:rPr>
          <w:rFonts w:hint="eastAsia"/>
          <w:sz w:val="15"/>
          <w:szCs w:val="15"/>
          <w:highlight w:val="none"/>
        </w:rPr>
        <w:t>，</w:t>
      </w:r>
      <w:r>
        <w:rPr>
          <w:rFonts w:hint="eastAsia"/>
          <w:sz w:val="15"/>
          <w:szCs w:val="15"/>
          <w:highlight w:val="none"/>
          <w:lang w:val="en-US" w:eastAsia="zh-CN"/>
        </w:rPr>
        <w:t>131128199008083617</w:t>
      </w:r>
      <w:r>
        <w:rPr>
          <w:rFonts w:hint="eastAsia"/>
          <w:sz w:val="15"/>
          <w:szCs w:val="15"/>
        </w:rPr>
        <w:t xml:space="preserve">  </w:t>
      </w:r>
      <w:r>
        <w:rPr>
          <w:rFonts w:hint="eastAsia"/>
          <w:sz w:val="15"/>
          <w:szCs w:val="15"/>
          <w:lang w:val="en-US" w:eastAsia="zh-CN"/>
        </w:rPr>
        <w:t>冀T38923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