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李晨阳</w:t>
      </w:r>
      <w:r>
        <w:rPr>
          <w:rFonts w:hint="eastAsia"/>
          <w:sz w:val="15"/>
          <w:szCs w:val="15"/>
          <w:highlight w:val="none"/>
        </w:rPr>
        <w:t>，</w:t>
      </w:r>
      <w:r>
        <w:rPr>
          <w:rFonts w:hint="eastAsia"/>
          <w:sz w:val="15"/>
          <w:szCs w:val="15"/>
          <w:highlight w:val="none"/>
          <w:lang w:val="en-US" w:eastAsia="zh-CN"/>
        </w:rPr>
        <w:t>13112819881003421X</w:t>
      </w:r>
      <w:r>
        <w:rPr>
          <w:rFonts w:hint="eastAsia"/>
          <w:sz w:val="15"/>
          <w:szCs w:val="15"/>
        </w:rPr>
        <w:t xml:space="preserve">  </w:t>
      </w:r>
      <w:r>
        <w:rPr>
          <w:rFonts w:hint="eastAsia"/>
          <w:sz w:val="15"/>
          <w:szCs w:val="15"/>
          <w:lang w:val="en-US" w:eastAsia="zh-CN"/>
        </w:rPr>
        <w:t>冀T63809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