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马爱民</w:t>
      </w:r>
      <w:r>
        <w:rPr>
          <w:rFonts w:hint="eastAsia"/>
          <w:sz w:val="15"/>
          <w:szCs w:val="15"/>
          <w:highlight w:val="none"/>
        </w:rPr>
        <w:t>，</w:t>
      </w:r>
      <w:r>
        <w:rPr>
          <w:rFonts w:hint="eastAsia"/>
          <w:sz w:val="15"/>
          <w:szCs w:val="15"/>
          <w:highlight w:val="none"/>
          <w:lang w:val="en-US" w:eastAsia="zh-CN"/>
        </w:rPr>
        <w:t>131128198402101217</w:t>
      </w:r>
      <w:r>
        <w:rPr>
          <w:rFonts w:hint="eastAsia"/>
          <w:sz w:val="15"/>
          <w:szCs w:val="15"/>
        </w:rPr>
        <w:t xml:space="preserve">  </w:t>
      </w:r>
      <w:r>
        <w:rPr>
          <w:rFonts w:hint="eastAsia"/>
          <w:sz w:val="15"/>
          <w:szCs w:val="15"/>
          <w:lang w:val="en-US" w:eastAsia="zh-CN"/>
        </w:rPr>
        <w:t>冀T69075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