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孙振宝</w:t>
      </w:r>
      <w:r>
        <w:rPr>
          <w:rFonts w:hint="eastAsia"/>
          <w:sz w:val="15"/>
          <w:szCs w:val="15"/>
          <w:highlight w:val="none"/>
        </w:rPr>
        <w:t>，</w:t>
      </w:r>
      <w:r>
        <w:rPr>
          <w:rFonts w:hint="eastAsia"/>
          <w:sz w:val="15"/>
          <w:szCs w:val="15"/>
          <w:highlight w:val="none"/>
          <w:lang w:val="en-US" w:eastAsia="zh-CN"/>
        </w:rPr>
        <w:t>131128198401200635</w:t>
      </w:r>
      <w:r>
        <w:rPr>
          <w:rFonts w:hint="eastAsia"/>
          <w:sz w:val="15"/>
          <w:szCs w:val="15"/>
        </w:rPr>
        <w:t xml:space="preserve">  </w:t>
      </w:r>
      <w:r>
        <w:rPr>
          <w:rFonts w:hint="eastAsia"/>
          <w:sz w:val="15"/>
          <w:szCs w:val="15"/>
          <w:lang w:val="en-US" w:eastAsia="zh-CN"/>
        </w:rPr>
        <w:t>冀AP3568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