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葛永明</w:t>
      </w:r>
      <w:r>
        <w:rPr>
          <w:rFonts w:hint="eastAsia"/>
          <w:sz w:val="15"/>
          <w:szCs w:val="15"/>
          <w:highlight w:val="none"/>
        </w:rPr>
        <w:t>，</w:t>
      </w:r>
      <w:r>
        <w:rPr>
          <w:rFonts w:hint="eastAsia"/>
          <w:sz w:val="15"/>
          <w:szCs w:val="15"/>
          <w:highlight w:val="none"/>
          <w:lang w:val="en-US" w:eastAsia="zh-CN"/>
        </w:rPr>
        <w:t>131128198203080038</w:t>
      </w:r>
      <w:r>
        <w:rPr>
          <w:rFonts w:hint="eastAsia"/>
          <w:sz w:val="15"/>
          <w:szCs w:val="15"/>
        </w:rPr>
        <w:t xml:space="preserve">  </w:t>
      </w:r>
      <w:r>
        <w:rPr>
          <w:rFonts w:hint="eastAsia"/>
          <w:sz w:val="15"/>
          <w:szCs w:val="15"/>
          <w:lang w:val="en-US" w:eastAsia="zh-CN"/>
        </w:rPr>
        <w:t>冀T87020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