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王丽艳</w:t>
      </w:r>
      <w:r>
        <w:rPr>
          <w:rFonts w:hint="eastAsia"/>
          <w:sz w:val="15"/>
          <w:szCs w:val="15"/>
          <w:highlight w:val="none"/>
        </w:rPr>
        <w:t>，</w:t>
      </w:r>
      <w:r>
        <w:rPr>
          <w:rFonts w:hint="eastAsia"/>
          <w:sz w:val="15"/>
          <w:szCs w:val="15"/>
          <w:highlight w:val="none"/>
          <w:lang w:val="en-US" w:eastAsia="zh-CN"/>
        </w:rPr>
        <w:t>131128198107062411</w:t>
      </w:r>
      <w:r>
        <w:rPr>
          <w:rFonts w:hint="eastAsia"/>
          <w:sz w:val="15"/>
          <w:szCs w:val="15"/>
        </w:rPr>
        <w:t xml:space="preserve">  </w:t>
      </w:r>
      <w:r>
        <w:rPr>
          <w:rFonts w:hint="eastAsia"/>
          <w:sz w:val="15"/>
          <w:szCs w:val="15"/>
          <w:lang w:val="en-US" w:eastAsia="zh-CN"/>
        </w:rPr>
        <w:t>冀TF3121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