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长存</w:t>
      </w:r>
      <w:r>
        <w:rPr>
          <w:rFonts w:hint="eastAsia"/>
          <w:sz w:val="15"/>
          <w:szCs w:val="15"/>
          <w:highlight w:val="none"/>
        </w:rPr>
        <w:t>，</w:t>
      </w:r>
      <w:r>
        <w:rPr>
          <w:rFonts w:hint="eastAsia"/>
          <w:sz w:val="15"/>
          <w:szCs w:val="15"/>
          <w:highlight w:val="none"/>
          <w:lang w:val="en-US" w:eastAsia="zh-CN"/>
        </w:rPr>
        <w:t>13112819781016241X</w:t>
      </w:r>
      <w:r>
        <w:rPr>
          <w:rFonts w:hint="eastAsia"/>
          <w:sz w:val="15"/>
          <w:szCs w:val="15"/>
        </w:rPr>
        <w:t xml:space="preserve">  </w:t>
      </w:r>
      <w:r>
        <w:rPr>
          <w:rFonts w:hint="eastAsia"/>
          <w:sz w:val="15"/>
          <w:szCs w:val="15"/>
          <w:lang w:val="en-US" w:eastAsia="zh-CN"/>
        </w:rPr>
        <w:t>冀T7736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