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高俊青</w:t>
      </w:r>
      <w:r>
        <w:rPr>
          <w:rFonts w:hint="eastAsia"/>
          <w:sz w:val="15"/>
          <w:szCs w:val="15"/>
          <w:highlight w:val="none"/>
        </w:rPr>
        <w:t>，</w:t>
      </w:r>
      <w:r>
        <w:rPr>
          <w:rFonts w:hint="eastAsia"/>
          <w:sz w:val="15"/>
          <w:szCs w:val="15"/>
          <w:highlight w:val="none"/>
          <w:lang w:val="en-US" w:eastAsia="zh-CN"/>
        </w:rPr>
        <w:t>131128196803046037</w:t>
      </w:r>
      <w:r>
        <w:rPr>
          <w:rFonts w:hint="eastAsia"/>
          <w:sz w:val="15"/>
          <w:szCs w:val="15"/>
        </w:rPr>
        <w:t xml:space="preserve">  </w:t>
      </w:r>
      <w:r>
        <w:rPr>
          <w:rFonts w:hint="eastAsia"/>
          <w:sz w:val="15"/>
          <w:szCs w:val="15"/>
          <w:lang w:val="en-US" w:eastAsia="zh-CN"/>
        </w:rPr>
        <w:t>冀T30856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