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李其明</w:t>
      </w:r>
      <w:r>
        <w:rPr>
          <w:rFonts w:hint="eastAsia"/>
          <w:sz w:val="15"/>
          <w:szCs w:val="15"/>
          <w:highlight w:val="none"/>
        </w:rPr>
        <w:t>，</w:t>
      </w:r>
      <w:r>
        <w:rPr>
          <w:rFonts w:hint="eastAsia"/>
          <w:sz w:val="15"/>
          <w:szCs w:val="15"/>
          <w:highlight w:val="none"/>
          <w:lang w:val="en-US" w:eastAsia="zh-CN"/>
        </w:rPr>
        <w:t>131127199008224356</w:t>
      </w:r>
      <w:r>
        <w:rPr>
          <w:rFonts w:hint="eastAsia"/>
          <w:sz w:val="15"/>
          <w:szCs w:val="15"/>
        </w:rPr>
        <w:t xml:space="preserve">  </w:t>
      </w:r>
      <w:r>
        <w:rPr>
          <w:rFonts w:hint="eastAsia"/>
          <w:sz w:val="15"/>
          <w:szCs w:val="15"/>
          <w:lang w:val="en-US" w:eastAsia="zh-CN"/>
        </w:rPr>
        <w:t>冀TA6753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