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石东升</w:t>
      </w:r>
      <w:r>
        <w:rPr>
          <w:rFonts w:hint="eastAsia"/>
          <w:sz w:val="15"/>
          <w:szCs w:val="15"/>
          <w:highlight w:val="none"/>
        </w:rPr>
        <w:t>，</w:t>
      </w:r>
      <w:r>
        <w:rPr>
          <w:rFonts w:hint="eastAsia"/>
          <w:sz w:val="15"/>
          <w:szCs w:val="15"/>
          <w:highlight w:val="none"/>
          <w:lang w:val="en-US" w:eastAsia="zh-CN"/>
        </w:rPr>
        <w:t>13112219811111161X</w:t>
      </w:r>
      <w:r>
        <w:rPr>
          <w:rFonts w:hint="eastAsia"/>
          <w:sz w:val="15"/>
          <w:szCs w:val="15"/>
        </w:rPr>
        <w:t xml:space="preserve">  </w:t>
      </w:r>
      <w:r>
        <w:rPr>
          <w:rFonts w:hint="eastAsia"/>
          <w:sz w:val="15"/>
          <w:szCs w:val="15"/>
          <w:lang w:val="en-US" w:eastAsia="zh-CN"/>
        </w:rPr>
        <w:t>冀T72061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