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王越</w:t>
      </w:r>
      <w:r>
        <w:rPr>
          <w:rFonts w:hint="eastAsia"/>
          <w:sz w:val="15"/>
          <w:szCs w:val="15"/>
          <w:highlight w:val="none"/>
        </w:rPr>
        <w:t>，</w:t>
      </w:r>
      <w:r>
        <w:rPr>
          <w:rFonts w:hint="eastAsia"/>
          <w:sz w:val="15"/>
          <w:szCs w:val="15"/>
          <w:highlight w:val="none"/>
          <w:lang w:val="en-US" w:eastAsia="zh-CN"/>
        </w:rPr>
        <w:t>130981198505071617</w:t>
      </w:r>
      <w:r>
        <w:rPr>
          <w:rFonts w:hint="eastAsia"/>
          <w:sz w:val="15"/>
          <w:szCs w:val="15"/>
        </w:rPr>
        <w:t xml:space="preserve">  </w:t>
      </w:r>
      <w:r>
        <w:rPr>
          <w:rFonts w:hint="eastAsia"/>
          <w:sz w:val="15"/>
          <w:szCs w:val="15"/>
          <w:lang w:val="en-US" w:eastAsia="zh-CN"/>
        </w:rPr>
        <w:t>冀J7E229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