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赵飞</w:t>
      </w:r>
      <w:r>
        <w:rPr>
          <w:rFonts w:hint="eastAsia"/>
          <w:sz w:val="15"/>
          <w:szCs w:val="15"/>
          <w:highlight w:val="none"/>
        </w:rPr>
        <w:t>，</w:t>
      </w:r>
      <w:r>
        <w:rPr>
          <w:rFonts w:hint="eastAsia"/>
          <w:sz w:val="15"/>
          <w:szCs w:val="15"/>
          <w:highlight w:val="none"/>
          <w:lang w:val="en-US" w:eastAsia="zh-CN"/>
        </w:rPr>
        <w:t>130981198204183412</w:t>
      </w:r>
      <w:r>
        <w:rPr>
          <w:rFonts w:hint="eastAsia"/>
          <w:sz w:val="15"/>
          <w:szCs w:val="15"/>
        </w:rPr>
        <w:t xml:space="preserve">  </w:t>
      </w:r>
      <w:r>
        <w:rPr>
          <w:rFonts w:hint="eastAsia"/>
          <w:sz w:val="15"/>
          <w:szCs w:val="15"/>
          <w:lang w:val="en-US" w:eastAsia="zh-CN"/>
        </w:rPr>
        <w:t>冀TR3587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