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陈婷</w:t>
      </w:r>
      <w:r>
        <w:rPr>
          <w:rFonts w:hint="eastAsia"/>
          <w:sz w:val="15"/>
          <w:szCs w:val="15"/>
          <w:highlight w:val="none"/>
        </w:rPr>
        <w:t>，</w:t>
      </w:r>
      <w:r>
        <w:rPr>
          <w:rFonts w:hint="eastAsia"/>
          <w:sz w:val="15"/>
          <w:szCs w:val="15"/>
          <w:highlight w:val="none"/>
          <w:lang w:val="en-US" w:eastAsia="zh-CN"/>
        </w:rPr>
        <w:t>130921198609180029</w:t>
      </w:r>
      <w:r>
        <w:rPr>
          <w:rFonts w:hint="eastAsia"/>
          <w:sz w:val="15"/>
          <w:szCs w:val="15"/>
        </w:rPr>
        <w:t xml:space="preserve">  </w:t>
      </w:r>
      <w:r>
        <w:rPr>
          <w:rFonts w:hint="eastAsia"/>
          <w:sz w:val="15"/>
          <w:szCs w:val="15"/>
          <w:lang w:val="en-US" w:eastAsia="zh-CN"/>
        </w:rPr>
        <w:t>冀J6M976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