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苑国东</w:t>
      </w:r>
      <w:r>
        <w:rPr>
          <w:rFonts w:hint="eastAsia"/>
          <w:sz w:val="15"/>
          <w:szCs w:val="15"/>
          <w:highlight w:val="none"/>
        </w:rPr>
        <w:t>，</w:t>
      </w:r>
      <w:r>
        <w:rPr>
          <w:rFonts w:hint="eastAsia"/>
          <w:sz w:val="15"/>
          <w:szCs w:val="15"/>
          <w:highlight w:val="none"/>
          <w:lang w:val="en-US" w:eastAsia="zh-CN"/>
        </w:rPr>
        <w:t>130921198211170218</w:t>
      </w:r>
      <w:r>
        <w:rPr>
          <w:rFonts w:hint="eastAsia"/>
          <w:sz w:val="15"/>
          <w:szCs w:val="15"/>
        </w:rPr>
        <w:t xml:space="preserve">  </w:t>
      </w:r>
      <w:r>
        <w:rPr>
          <w:rFonts w:hint="eastAsia"/>
          <w:sz w:val="15"/>
          <w:szCs w:val="15"/>
          <w:lang w:val="en-US" w:eastAsia="zh-CN"/>
        </w:rPr>
        <w:t>冀J0J799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