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李双梅</w:t>
      </w:r>
      <w:r>
        <w:rPr>
          <w:rFonts w:hint="eastAsia"/>
          <w:sz w:val="15"/>
          <w:szCs w:val="15"/>
          <w:highlight w:val="none"/>
        </w:rPr>
        <w:t>，</w:t>
      </w:r>
      <w:r>
        <w:rPr>
          <w:rFonts w:hint="eastAsia"/>
          <w:sz w:val="15"/>
          <w:szCs w:val="15"/>
          <w:highlight w:val="none"/>
          <w:lang w:val="en-US" w:eastAsia="zh-CN"/>
        </w:rPr>
        <w:t>130629196702190323</w:t>
      </w:r>
      <w:r>
        <w:rPr>
          <w:rFonts w:hint="eastAsia"/>
          <w:sz w:val="15"/>
          <w:szCs w:val="15"/>
        </w:rPr>
        <w:t xml:space="preserve">  </w:t>
      </w:r>
      <w:r>
        <w:rPr>
          <w:rFonts w:hint="eastAsia"/>
          <w:sz w:val="15"/>
          <w:szCs w:val="15"/>
          <w:lang w:val="en-US" w:eastAsia="zh-CN"/>
        </w:rPr>
        <w:t>冀FQ9159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