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高雷的</w:t>
      </w:r>
      <w:r>
        <w:rPr>
          <w:rFonts w:hint="eastAsia"/>
          <w:sz w:val="15"/>
          <w:szCs w:val="15"/>
          <w:highlight w:val="none"/>
        </w:rPr>
        <w:t>，</w:t>
      </w:r>
      <w:r>
        <w:rPr>
          <w:rFonts w:hint="eastAsia"/>
          <w:sz w:val="15"/>
          <w:szCs w:val="15"/>
          <w:highlight w:val="none"/>
          <w:lang w:val="en-US" w:eastAsia="zh-CN"/>
        </w:rPr>
        <w:t>130429198604036531</w:t>
      </w:r>
      <w:r>
        <w:rPr>
          <w:rFonts w:hint="eastAsia"/>
          <w:sz w:val="15"/>
          <w:szCs w:val="15"/>
        </w:rPr>
        <w:t xml:space="preserve">  </w:t>
      </w:r>
      <w:r>
        <w:rPr>
          <w:rFonts w:hint="eastAsia"/>
          <w:sz w:val="15"/>
          <w:szCs w:val="15"/>
          <w:lang w:val="en-US" w:eastAsia="zh-CN"/>
        </w:rPr>
        <w:t>冀DN1922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