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张燕沙</w:t>
      </w:r>
      <w:r>
        <w:rPr>
          <w:rFonts w:hint="eastAsia"/>
          <w:sz w:val="15"/>
          <w:szCs w:val="15"/>
          <w:highlight w:val="none"/>
        </w:rPr>
        <w:t>，</w:t>
      </w:r>
      <w:r>
        <w:rPr>
          <w:rFonts w:hint="eastAsia"/>
          <w:sz w:val="15"/>
          <w:szCs w:val="15"/>
          <w:highlight w:val="none"/>
          <w:lang w:val="en-US" w:eastAsia="zh-CN"/>
        </w:rPr>
        <w:t>130429198602100640</w:t>
      </w:r>
      <w:r>
        <w:rPr>
          <w:rFonts w:hint="eastAsia"/>
          <w:sz w:val="15"/>
          <w:szCs w:val="15"/>
        </w:rPr>
        <w:t xml:space="preserve">  </w:t>
      </w:r>
      <w:r>
        <w:rPr>
          <w:rFonts w:hint="eastAsia"/>
          <w:sz w:val="15"/>
          <w:szCs w:val="15"/>
          <w:lang w:val="en-US" w:eastAsia="zh-CN"/>
        </w:rPr>
        <w:t>冀A57420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