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张江超</w:t>
      </w:r>
      <w:r>
        <w:rPr>
          <w:rFonts w:hint="eastAsia"/>
          <w:sz w:val="15"/>
          <w:szCs w:val="15"/>
          <w:highlight w:val="none"/>
        </w:rPr>
        <w:t>，</w:t>
      </w:r>
      <w:r>
        <w:rPr>
          <w:rFonts w:hint="eastAsia"/>
          <w:sz w:val="15"/>
          <w:szCs w:val="15"/>
          <w:highlight w:val="none"/>
          <w:lang w:val="en-US" w:eastAsia="zh-CN"/>
        </w:rPr>
        <w:t>130421198505053917</w:t>
      </w:r>
      <w:r>
        <w:rPr>
          <w:rFonts w:hint="eastAsia"/>
          <w:sz w:val="15"/>
          <w:szCs w:val="15"/>
        </w:rPr>
        <w:t xml:space="preserve">  </w:t>
      </w:r>
      <w:r>
        <w:rPr>
          <w:rFonts w:hint="eastAsia"/>
          <w:sz w:val="15"/>
          <w:szCs w:val="15"/>
          <w:lang w:val="en-US" w:eastAsia="zh-CN"/>
        </w:rPr>
        <w:t>沪A78108D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