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李专兴</w:t>
      </w:r>
      <w:r>
        <w:rPr>
          <w:rFonts w:hint="eastAsia"/>
          <w:sz w:val="15"/>
          <w:szCs w:val="15"/>
          <w:highlight w:val="none"/>
        </w:rPr>
        <w:t>，</w:t>
      </w:r>
      <w:r>
        <w:rPr>
          <w:rFonts w:hint="eastAsia"/>
          <w:sz w:val="15"/>
          <w:szCs w:val="15"/>
          <w:highlight w:val="none"/>
          <w:lang w:val="en-US" w:eastAsia="zh-CN"/>
        </w:rPr>
        <w:t>130421197811224812</w:t>
      </w:r>
      <w:r>
        <w:rPr>
          <w:rFonts w:hint="eastAsia"/>
          <w:sz w:val="15"/>
          <w:szCs w:val="15"/>
        </w:rPr>
        <w:t xml:space="preserve">  </w:t>
      </w:r>
      <w:r>
        <w:rPr>
          <w:rFonts w:hint="eastAsia"/>
          <w:sz w:val="15"/>
          <w:szCs w:val="15"/>
          <w:lang w:val="en-US" w:eastAsia="zh-CN"/>
        </w:rPr>
        <w:t>冀D26880D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