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周子龙</w:t>
      </w:r>
      <w:r>
        <w:rPr>
          <w:rFonts w:hint="eastAsia"/>
          <w:sz w:val="15"/>
          <w:szCs w:val="15"/>
          <w:highlight w:val="none"/>
        </w:rPr>
        <w:t>，</w:t>
      </w:r>
      <w:r>
        <w:rPr>
          <w:rFonts w:hint="eastAsia"/>
          <w:sz w:val="15"/>
          <w:szCs w:val="15"/>
          <w:highlight w:val="none"/>
          <w:lang w:val="en-US" w:eastAsia="zh-CN"/>
        </w:rPr>
        <w:t>130421197311132735</w:t>
      </w:r>
      <w:r>
        <w:rPr>
          <w:rFonts w:hint="eastAsia"/>
          <w:sz w:val="15"/>
          <w:szCs w:val="15"/>
        </w:rPr>
        <w:t xml:space="preserve">  </w:t>
      </w:r>
      <w:r>
        <w:rPr>
          <w:rFonts w:hint="eastAsia"/>
          <w:sz w:val="15"/>
          <w:szCs w:val="15"/>
          <w:lang w:val="en-US" w:eastAsia="zh-CN"/>
        </w:rPr>
        <w:t>沪A88020D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