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孙美伶</w:t>
      </w:r>
      <w:r>
        <w:rPr>
          <w:rFonts w:hint="eastAsia"/>
          <w:sz w:val="15"/>
          <w:szCs w:val="15"/>
          <w:highlight w:val="none"/>
        </w:rPr>
        <w:t>，</w:t>
      </w:r>
      <w:r>
        <w:rPr>
          <w:rFonts w:hint="eastAsia"/>
          <w:sz w:val="15"/>
          <w:szCs w:val="15"/>
          <w:highlight w:val="none"/>
          <w:lang w:val="en-US" w:eastAsia="zh-CN"/>
        </w:rPr>
        <w:t>130281198909133767</w:t>
      </w:r>
      <w:r>
        <w:rPr>
          <w:rFonts w:hint="eastAsia"/>
          <w:sz w:val="15"/>
          <w:szCs w:val="15"/>
        </w:rPr>
        <w:t xml:space="preserve">  </w:t>
      </w:r>
      <w:r>
        <w:rPr>
          <w:rFonts w:hint="eastAsia"/>
          <w:sz w:val="15"/>
          <w:szCs w:val="15"/>
          <w:lang w:val="en-US" w:eastAsia="zh-CN"/>
        </w:rPr>
        <w:t>冀B7376Z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