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王红彦</w:t>
      </w:r>
      <w:r>
        <w:rPr>
          <w:rFonts w:hint="eastAsia"/>
          <w:sz w:val="15"/>
          <w:szCs w:val="15"/>
          <w:highlight w:val="none"/>
        </w:rPr>
        <w:t>，</w:t>
      </w:r>
      <w:r>
        <w:rPr>
          <w:rFonts w:hint="eastAsia"/>
          <w:sz w:val="15"/>
          <w:szCs w:val="15"/>
          <w:highlight w:val="none"/>
          <w:lang w:val="en-US" w:eastAsia="zh-CN"/>
        </w:rPr>
        <w:t>130281198609023726</w:t>
      </w:r>
      <w:r>
        <w:rPr>
          <w:rFonts w:hint="eastAsia"/>
          <w:sz w:val="15"/>
          <w:szCs w:val="15"/>
        </w:rPr>
        <w:t xml:space="preserve">  </w:t>
      </w:r>
      <w:r>
        <w:rPr>
          <w:rFonts w:hint="eastAsia"/>
          <w:sz w:val="15"/>
          <w:szCs w:val="15"/>
          <w:lang w:val="en-US" w:eastAsia="zh-CN"/>
        </w:rPr>
        <w:t>冀B0V256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