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杨翠红</w:t>
      </w:r>
      <w:r>
        <w:rPr>
          <w:rFonts w:hint="eastAsia"/>
          <w:sz w:val="15"/>
          <w:szCs w:val="15"/>
          <w:highlight w:val="none"/>
        </w:rPr>
        <w:t>，</w:t>
      </w:r>
      <w:r>
        <w:rPr>
          <w:rFonts w:hint="eastAsia"/>
          <w:sz w:val="15"/>
          <w:szCs w:val="15"/>
          <w:highlight w:val="none"/>
          <w:lang w:val="en-US" w:eastAsia="zh-CN"/>
        </w:rPr>
        <w:t>130281198207013728</w:t>
      </w:r>
      <w:r>
        <w:rPr>
          <w:rFonts w:hint="eastAsia"/>
          <w:sz w:val="15"/>
          <w:szCs w:val="15"/>
        </w:rPr>
        <w:t xml:space="preserve">  </w:t>
      </w:r>
      <w:r>
        <w:rPr>
          <w:rFonts w:hint="eastAsia"/>
          <w:sz w:val="15"/>
          <w:szCs w:val="15"/>
          <w:lang w:val="en-US" w:eastAsia="zh-CN"/>
        </w:rPr>
        <w:t>冀B8553H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