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赵海霞</w:t>
      </w:r>
      <w:r>
        <w:rPr>
          <w:rFonts w:hint="eastAsia"/>
          <w:sz w:val="15"/>
          <w:szCs w:val="15"/>
          <w:highlight w:val="none"/>
        </w:rPr>
        <w:t>，</w:t>
      </w:r>
      <w:r>
        <w:rPr>
          <w:rFonts w:hint="eastAsia"/>
          <w:sz w:val="15"/>
          <w:szCs w:val="15"/>
          <w:highlight w:val="none"/>
          <w:lang w:val="en-US" w:eastAsia="zh-CN"/>
        </w:rPr>
        <w:t>130221198809136606</w:t>
      </w:r>
      <w:r>
        <w:rPr>
          <w:rFonts w:hint="eastAsia"/>
          <w:sz w:val="15"/>
          <w:szCs w:val="15"/>
        </w:rPr>
        <w:t xml:space="preserve">  </w:t>
      </w:r>
      <w:r>
        <w:rPr>
          <w:rFonts w:hint="eastAsia"/>
          <w:sz w:val="15"/>
          <w:szCs w:val="15"/>
          <w:lang w:val="en-US" w:eastAsia="zh-CN"/>
        </w:rPr>
        <w:t>冀B3U270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