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孔令稳</w:t>
      </w:r>
      <w:r>
        <w:rPr>
          <w:rFonts w:hint="eastAsia"/>
          <w:sz w:val="15"/>
          <w:szCs w:val="15"/>
          <w:highlight w:val="none"/>
        </w:rPr>
        <w:t>，</w:t>
      </w:r>
      <w:r>
        <w:rPr>
          <w:rFonts w:hint="eastAsia"/>
          <w:sz w:val="15"/>
          <w:szCs w:val="15"/>
          <w:highlight w:val="none"/>
          <w:lang w:val="en-US" w:eastAsia="zh-CN"/>
        </w:rPr>
        <w:t>130221198412095922</w:t>
      </w:r>
      <w:r>
        <w:rPr>
          <w:rFonts w:hint="eastAsia"/>
          <w:sz w:val="15"/>
          <w:szCs w:val="15"/>
        </w:rPr>
        <w:t xml:space="preserve">  </w:t>
      </w:r>
      <w:r>
        <w:rPr>
          <w:rFonts w:hint="eastAsia"/>
          <w:sz w:val="15"/>
          <w:szCs w:val="15"/>
          <w:lang w:val="en-US" w:eastAsia="zh-CN"/>
        </w:rPr>
        <w:t>冀B0V523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