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于鹏滨</w:t>
      </w:r>
      <w:r>
        <w:rPr>
          <w:rFonts w:hint="eastAsia"/>
          <w:sz w:val="15"/>
          <w:szCs w:val="15"/>
          <w:highlight w:val="none"/>
        </w:rPr>
        <w:t>，</w:t>
      </w:r>
      <w:r>
        <w:rPr>
          <w:rFonts w:hint="eastAsia"/>
          <w:sz w:val="15"/>
          <w:szCs w:val="15"/>
          <w:highlight w:val="none"/>
          <w:lang w:val="en-US" w:eastAsia="zh-CN"/>
        </w:rPr>
        <w:t>130185198801272511</w:t>
      </w:r>
      <w:r>
        <w:rPr>
          <w:rFonts w:hint="eastAsia"/>
          <w:sz w:val="15"/>
          <w:szCs w:val="15"/>
        </w:rPr>
        <w:t xml:space="preserve">  </w:t>
      </w:r>
      <w:r>
        <w:rPr>
          <w:rFonts w:hint="eastAsia"/>
          <w:sz w:val="15"/>
          <w:szCs w:val="15"/>
          <w:lang w:val="en-US" w:eastAsia="zh-CN"/>
        </w:rPr>
        <w:t>冀AKL796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