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王丹风</w:t>
      </w:r>
      <w:r>
        <w:rPr>
          <w:rFonts w:hint="eastAsia"/>
          <w:sz w:val="15"/>
          <w:szCs w:val="15"/>
          <w:highlight w:val="none"/>
        </w:rPr>
        <w:t>，</w:t>
      </w:r>
      <w:r>
        <w:rPr>
          <w:rFonts w:hint="eastAsia"/>
          <w:sz w:val="15"/>
          <w:szCs w:val="15"/>
          <w:highlight w:val="none"/>
          <w:lang w:val="en-US" w:eastAsia="zh-CN"/>
        </w:rPr>
        <w:t>130185198203011346</w:t>
      </w:r>
      <w:r>
        <w:rPr>
          <w:rFonts w:hint="eastAsia"/>
          <w:sz w:val="15"/>
          <w:szCs w:val="15"/>
        </w:rPr>
        <w:t xml:space="preserve">  </w:t>
      </w:r>
      <w:r>
        <w:rPr>
          <w:rFonts w:hint="eastAsia"/>
          <w:sz w:val="15"/>
          <w:szCs w:val="15"/>
          <w:lang w:val="en-US" w:eastAsia="zh-CN"/>
        </w:rPr>
        <w:t>冀A802AG</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