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张宏亮</w:t>
      </w:r>
      <w:r>
        <w:rPr>
          <w:rFonts w:hint="eastAsia"/>
          <w:sz w:val="15"/>
          <w:szCs w:val="15"/>
          <w:highlight w:val="none"/>
        </w:rPr>
        <w:t>，</w:t>
      </w:r>
      <w:r>
        <w:rPr>
          <w:rFonts w:hint="eastAsia"/>
          <w:sz w:val="15"/>
          <w:szCs w:val="15"/>
          <w:highlight w:val="none"/>
          <w:lang w:val="en-US" w:eastAsia="zh-CN"/>
        </w:rPr>
        <w:t>130184198902141012</w:t>
      </w:r>
      <w:r>
        <w:rPr>
          <w:rFonts w:hint="eastAsia"/>
          <w:sz w:val="15"/>
          <w:szCs w:val="15"/>
        </w:rPr>
        <w:t xml:space="preserve">  </w:t>
      </w:r>
      <w:r>
        <w:rPr>
          <w:rFonts w:hint="eastAsia"/>
          <w:sz w:val="15"/>
          <w:szCs w:val="15"/>
          <w:lang w:val="en-US" w:eastAsia="zh-CN"/>
        </w:rPr>
        <w:t>冀A224JS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