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支晓凯</w:t>
      </w:r>
      <w:r>
        <w:rPr>
          <w:rFonts w:hint="eastAsia"/>
          <w:sz w:val="15"/>
          <w:szCs w:val="15"/>
          <w:highlight w:val="none"/>
        </w:rPr>
        <w:t>，</w:t>
      </w:r>
      <w:r>
        <w:rPr>
          <w:rFonts w:hint="eastAsia"/>
          <w:sz w:val="15"/>
          <w:szCs w:val="15"/>
          <w:highlight w:val="none"/>
          <w:lang w:val="en-US" w:eastAsia="zh-CN"/>
        </w:rPr>
        <w:t>130184198501244555</w:t>
      </w:r>
      <w:r>
        <w:rPr>
          <w:rFonts w:hint="eastAsia"/>
          <w:sz w:val="15"/>
          <w:szCs w:val="15"/>
        </w:rPr>
        <w:t xml:space="preserve">  </w:t>
      </w:r>
      <w:r>
        <w:rPr>
          <w:rFonts w:hint="eastAsia"/>
          <w:sz w:val="15"/>
          <w:szCs w:val="15"/>
          <w:lang w:val="en-US" w:eastAsia="zh-CN"/>
        </w:rPr>
        <w:t>冀A65697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