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杜建波</w:t>
      </w:r>
      <w:r>
        <w:rPr>
          <w:rFonts w:hint="eastAsia"/>
          <w:sz w:val="15"/>
          <w:szCs w:val="15"/>
          <w:highlight w:val="none"/>
        </w:rPr>
        <w:t>，</w:t>
      </w:r>
      <w:r>
        <w:rPr>
          <w:rFonts w:hint="eastAsia"/>
          <w:sz w:val="15"/>
          <w:szCs w:val="15"/>
          <w:highlight w:val="none"/>
          <w:lang w:val="en-US" w:eastAsia="zh-CN"/>
        </w:rPr>
        <w:t>130184198001174511</w:t>
      </w:r>
      <w:r>
        <w:rPr>
          <w:rFonts w:hint="eastAsia"/>
          <w:sz w:val="15"/>
          <w:szCs w:val="15"/>
        </w:rPr>
        <w:t xml:space="preserve">  </w:t>
      </w:r>
      <w:r>
        <w:rPr>
          <w:rFonts w:hint="eastAsia"/>
          <w:sz w:val="15"/>
          <w:szCs w:val="15"/>
          <w:lang w:val="en-US" w:eastAsia="zh-CN"/>
        </w:rPr>
        <w:t>冀A389CA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