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朱东超</w:t>
      </w:r>
      <w:r>
        <w:rPr>
          <w:rFonts w:hint="eastAsia"/>
          <w:sz w:val="15"/>
          <w:szCs w:val="15"/>
          <w:highlight w:val="none"/>
        </w:rPr>
        <w:t>，</w:t>
      </w:r>
      <w:r>
        <w:rPr>
          <w:rFonts w:hint="eastAsia"/>
          <w:sz w:val="15"/>
          <w:szCs w:val="15"/>
          <w:highlight w:val="none"/>
          <w:lang w:val="en-US" w:eastAsia="zh-CN"/>
        </w:rPr>
        <w:t>130183197912111553</w:t>
      </w:r>
      <w:r>
        <w:rPr>
          <w:rFonts w:hint="eastAsia"/>
          <w:sz w:val="15"/>
          <w:szCs w:val="15"/>
        </w:rPr>
        <w:t xml:space="preserve">  </w:t>
      </w:r>
      <w:r>
        <w:rPr>
          <w:rFonts w:hint="eastAsia"/>
          <w:sz w:val="15"/>
          <w:szCs w:val="15"/>
          <w:lang w:val="en-US" w:eastAsia="zh-CN"/>
        </w:rPr>
        <w:t>冀A40875D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