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郎东东</w:t>
      </w:r>
      <w:r>
        <w:rPr>
          <w:rFonts w:hint="eastAsia"/>
          <w:sz w:val="15"/>
          <w:szCs w:val="15"/>
          <w:highlight w:val="none"/>
        </w:rPr>
        <w:t>，</w:t>
      </w:r>
      <w:r>
        <w:rPr>
          <w:rFonts w:hint="eastAsia"/>
          <w:sz w:val="15"/>
          <w:szCs w:val="15"/>
          <w:highlight w:val="none"/>
          <w:lang w:val="en-US" w:eastAsia="zh-CN"/>
        </w:rPr>
        <w:t>130182199207160512</w:t>
      </w:r>
      <w:r>
        <w:rPr>
          <w:rFonts w:hint="eastAsia"/>
          <w:sz w:val="15"/>
          <w:szCs w:val="15"/>
        </w:rPr>
        <w:t xml:space="preserve">  </w:t>
      </w:r>
      <w:r>
        <w:rPr>
          <w:rFonts w:hint="eastAsia"/>
          <w:sz w:val="15"/>
          <w:szCs w:val="15"/>
          <w:lang w:val="en-US" w:eastAsia="zh-CN"/>
        </w:rPr>
        <w:t>冀AKG148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