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韩卫东</w:t>
      </w:r>
      <w:r>
        <w:rPr>
          <w:rFonts w:hint="eastAsia"/>
          <w:sz w:val="15"/>
          <w:szCs w:val="15"/>
          <w:highlight w:val="none"/>
        </w:rPr>
        <w:t>，</w:t>
      </w:r>
      <w:r>
        <w:rPr>
          <w:rFonts w:hint="eastAsia"/>
          <w:sz w:val="15"/>
          <w:szCs w:val="15"/>
          <w:highlight w:val="none"/>
          <w:lang w:val="en-US" w:eastAsia="zh-CN"/>
        </w:rPr>
        <w:t>130182199101245331</w:t>
      </w:r>
      <w:r>
        <w:rPr>
          <w:rFonts w:hint="eastAsia"/>
          <w:sz w:val="15"/>
          <w:szCs w:val="15"/>
        </w:rPr>
        <w:t xml:space="preserve">  </w:t>
      </w:r>
      <w:r>
        <w:rPr>
          <w:rFonts w:hint="eastAsia"/>
          <w:sz w:val="15"/>
          <w:szCs w:val="15"/>
          <w:lang w:val="en-US" w:eastAsia="zh-CN"/>
        </w:rPr>
        <w:t>冀AH3775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