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孙景龙</w:t>
      </w:r>
      <w:r>
        <w:rPr>
          <w:rFonts w:hint="eastAsia"/>
          <w:sz w:val="15"/>
          <w:szCs w:val="15"/>
          <w:highlight w:val="none"/>
        </w:rPr>
        <w:t>，</w:t>
      </w:r>
      <w:r>
        <w:rPr>
          <w:rFonts w:hint="eastAsia"/>
          <w:sz w:val="15"/>
          <w:szCs w:val="15"/>
          <w:highlight w:val="none"/>
          <w:lang w:val="en-US" w:eastAsia="zh-CN"/>
        </w:rPr>
        <w:t>13018219870125531X</w:t>
      </w:r>
      <w:r>
        <w:rPr>
          <w:rFonts w:hint="eastAsia"/>
          <w:sz w:val="15"/>
          <w:szCs w:val="15"/>
        </w:rPr>
        <w:t xml:space="preserve">  </w:t>
      </w:r>
      <w:r>
        <w:rPr>
          <w:rFonts w:hint="eastAsia"/>
          <w:sz w:val="15"/>
          <w:szCs w:val="15"/>
          <w:lang w:val="en-US" w:eastAsia="zh-CN"/>
        </w:rPr>
        <w:t>冀A10U82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