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张浩</w:t>
      </w:r>
      <w:r>
        <w:rPr>
          <w:rFonts w:hint="eastAsia"/>
          <w:sz w:val="15"/>
          <w:szCs w:val="15"/>
          <w:highlight w:val="none"/>
        </w:rPr>
        <w:t>，</w:t>
      </w:r>
      <w:r>
        <w:rPr>
          <w:rFonts w:hint="eastAsia"/>
          <w:sz w:val="15"/>
          <w:szCs w:val="15"/>
          <w:highlight w:val="none"/>
          <w:lang w:val="en-US" w:eastAsia="zh-CN"/>
        </w:rPr>
        <w:t>130182198611250515</w:t>
      </w:r>
      <w:r>
        <w:rPr>
          <w:rFonts w:hint="eastAsia"/>
          <w:sz w:val="15"/>
          <w:szCs w:val="15"/>
        </w:rPr>
        <w:t xml:space="preserve">  </w:t>
      </w:r>
      <w:r>
        <w:rPr>
          <w:rFonts w:hint="eastAsia"/>
          <w:sz w:val="15"/>
          <w:szCs w:val="15"/>
          <w:lang w:val="en-US" w:eastAsia="zh-CN"/>
        </w:rPr>
        <w:t>冀A74553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