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李常东</w:t>
      </w:r>
      <w:r>
        <w:rPr>
          <w:rFonts w:hint="eastAsia"/>
          <w:sz w:val="15"/>
          <w:szCs w:val="15"/>
          <w:highlight w:val="none"/>
        </w:rPr>
        <w:t>，</w:t>
      </w:r>
      <w:r>
        <w:rPr>
          <w:rFonts w:hint="eastAsia"/>
          <w:sz w:val="15"/>
          <w:szCs w:val="15"/>
          <w:highlight w:val="none"/>
          <w:lang w:val="en-US" w:eastAsia="zh-CN"/>
        </w:rPr>
        <w:t>130182198611154873</w:t>
      </w:r>
      <w:r>
        <w:rPr>
          <w:rFonts w:hint="eastAsia"/>
          <w:sz w:val="15"/>
          <w:szCs w:val="15"/>
        </w:rPr>
        <w:t xml:space="preserve">  </w:t>
      </w:r>
      <w:r>
        <w:rPr>
          <w:rFonts w:hint="eastAsia"/>
          <w:sz w:val="15"/>
          <w:szCs w:val="15"/>
          <w:lang w:val="en-US" w:eastAsia="zh-CN"/>
        </w:rPr>
        <w:t>冀ATL066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