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胡明川</w:t>
      </w:r>
      <w:r>
        <w:rPr>
          <w:rFonts w:hint="eastAsia"/>
          <w:sz w:val="15"/>
          <w:szCs w:val="15"/>
          <w:highlight w:val="none"/>
        </w:rPr>
        <w:t>，</w:t>
      </w:r>
      <w:r>
        <w:rPr>
          <w:rFonts w:hint="eastAsia"/>
          <w:sz w:val="15"/>
          <w:szCs w:val="15"/>
          <w:highlight w:val="none"/>
          <w:lang w:val="en-US" w:eastAsia="zh-CN"/>
        </w:rPr>
        <w:t>130182198605130517</w:t>
      </w:r>
      <w:r>
        <w:rPr>
          <w:rFonts w:hint="eastAsia"/>
          <w:sz w:val="15"/>
          <w:szCs w:val="15"/>
        </w:rPr>
        <w:t xml:space="preserve">  </w:t>
      </w:r>
      <w:r>
        <w:rPr>
          <w:rFonts w:hint="eastAsia"/>
          <w:sz w:val="15"/>
          <w:szCs w:val="15"/>
          <w:lang w:val="en-US" w:eastAsia="zh-CN"/>
        </w:rPr>
        <w:t>冀A902A7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