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黄静</w:t>
      </w:r>
      <w:r>
        <w:rPr>
          <w:rFonts w:hint="eastAsia"/>
          <w:sz w:val="15"/>
          <w:szCs w:val="15"/>
          <w:highlight w:val="none"/>
        </w:rPr>
        <w:t>，</w:t>
      </w:r>
      <w:r>
        <w:rPr>
          <w:rFonts w:hint="eastAsia"/>
          <w:sz w:val="15"/>
          <w:szCs w:val="15"/>
          <w:highlight w:val="none"/>
          <w:lang w:val="en-US" w:eastAsia="zh-CN"/>
        </w:rPr>
        <w:t>130182198307192728</w:t>
      </w:r>
      <w:r>
        <w:rPr>
          <w:rFonts w:hint="eastAsia"/>
          <w:sz w:val="15"/>
          <w:szCs w:val="15"/>
        </w:rPr>
        <w:t xml:space="preserve">  </w:t>
      </w:r>
      <w:r>
        <w:rPr>
          <w:rFonts w:hint="eastAsia"/>
          <w:sz w:val="15"/>
          <w:szCs w:val="15"/>
          <w:lang w:val="en-US" w:eastAsia="zh-CN"/>
        </w:rPr>
        <w:t>冀AKV800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