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李刚</w:t>
      </w:r>
      <w:r>
        <w:rPr>
          <w:rFonts w:hint="eastAsia"/>
          <w:sz w:val="15"/>
          <w:szCs w:val="15"/>
          <w:highlight w:val="none"/>
        </w:rPr>
        <w:t>，</w:t>
      </w:r>
      <w:r>
        <w:rPr>
          <w:rFonts w:hint="eastAsia"/>
          <w:sz w:val="15"/>
          <w:szCs w:val="15"/>
          <w:highlight w:val="none"/>
          <w:lang w:val="en-US" w:eastAsia="zh-CN"/>
        </w:rPr>
        <w:t>13018119890111331X</w:t>
      </w:r>
      <w:r>
        <w:rPr>
          <w:rFonts w:hint="eastAsia"/>
          <w:sz w:val="15"/>
          <w:szCs w:val="15"/>
        </w:rPr>
        <w:t xml:space="preserve">  </w:t>
      </w:r>
      <w:r>
        <w:rPr>
          <w:rFonts w:hint="eastAsia"/>
          <w:sz w:val="15"/>
          <w:szCs w:val="15"/>
          <w:lang w:val="en-US" w:eastAsia="zh-CN"/>
        </w:rPr>
        <w:t>冀A36361D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