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张嘉宇</w:t>
      </w:r>
      <w:r>
        <w:rPr>
          <w:rFonts w:hint="eastAsia"/>
          <w:sz w:val="15"/>
          <w:szCs w:val="15"/>
          <w:highlight w:val="none"/>
        </w:rPr>
        <w:t>，</w:t>
      </w:r>
      <w:r>
        <w:rPr>
          <w:rFonts w:hint="eastAsia"/>
          <w:sz w:val="15"/>
          <w:szCs w:val="15"/>
          <w:highlight w:val="none"/>
          <w:lang w:val="en-US" w:eastAsia="zh-CN"/>
        </w:rPr>
        <w:t>130131200409163637</w:t>
      </w:r>
      <w:r>
        <w:rPr>
          <w:rFonts w:hint="eastAsia"/>
          <w:sz w:val="15"/>
          <w:szCs w:val="15"/>
        </w:rPr>
        <w:t xml:space="preserve">  </w:t>
      </w:r>
      <w:r>
        <w:rPr>
          <w:rFonts w:hint="eastAsia"/>
          <w:sz w:val="15"/>
          <w:szCs w:val="15"/>
          <w:lang w:val="en-US" w:eastAsia="zh-CN"/>
        </w:rPr>
        <w:t>冀A00593D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