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茹晓敏</w:t>
      </w:r>
      <w:r>
        <w:rPr>
          <w:rFonts w:hint="eastAsia"/>
          <w:sz w:val="15"/>
          <w:szCs w:val="15"/>
          <w:highlight w:val="none"/>
        </w:rPr>
        <w:t>，</w:t>
      </w:r>
      <w:r>
        <w:rPr>
          <w:rFonts w:hint="eastAsia"/>
          <w:sz w:val="15"/>
          <w:szCs w:val="15"/>
          <w:highlight w:val="none"/>
          <w:lang w:val="en-US" w:eastAsia="zh-CN"/>
        </w:rPr>
        <w:t>130131200312224210</w:t>
      </w:r>
      <w:r>
        <w:rPr>
          <w:rFonts w:hint="eastAsia"/>
          <w:sz w:val="15"/>
          <w:szCs w:val="15"/>
        </w:rPr>
        <w:t xml:space="preserve">  </w:t>
      </w:r>
      <w:r>
        <w:rPr>
          <w:rFonts w:hint="eastAsia"/>
          <w:sz w:val="15"/>
          <w:szCs w:val="15"/>
          <w:lang w:val="en-US" w:eastAsia="zh-CN"/>
        </w:rPr>
        <w:t>沪A16163A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